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E3C" w:rsidRDefault="003F4E3C" w:rsidP="003F4E3C">
      <w:pPr>
        <w:spacing w:after="0" w:line="240" w:lineRule="auto"/>
        <w:jc w:val="right"/>
        <w:rPr>
          <w:rFonts w:ascii="Tele-GroteskNor" w:hAnsi="Tele-GroteskNor"/>
          <w:sz w:val="20"/>
          <w:szCs w:val="20"/>
          <w:u w:val="single"/>
        </w:rPr>
      </w:pPr>
      <w:bookmarkStart w:id="0" w:name="_GoBack"/>
      <w:bookmarkEnd w:id="0"/>
      <w:r w:rsidRPr="003F4E3C">
        <w:rPr>
          <w:rFonts w:ascii="Tele-GroteskNor" w:hAnsi="Tele-GroteskNor"/>
          <w:sz w:val="20"/>
          <w:szCs w:val="20"/>
          <w:u w:val="single"/>
        </w:rPr>
        <w:t>Stand: 17. Mai 2017</w:t>
      </w:r>
    </w:p>
    <w:p w:rsidR="003F4E3C" w:rsidRPr="003F4E3C" w:rsidRDefault="003F4E3C" w:rsidP="003F4E3C">
      <w:pPr>
        <w:spacing w:after="0" w:line="240" w:lineRule="auto"/>
        <w:jc w:val="right"/>
        <w:rPr>
          <w:rFonts w:ascii="Tele-GroteskNor" w:hAnsi="Tele-GroteskNor"/>
          <w:sz w:val="20"/>
          <w:szCs w:val="20"/>
          <w:u w:val="single"/>
        </w:rPr>
      </w:pPr>
    </w:p>
    <w:p w:rsidR="008E5828" w:rsidRPr="00CE6A4B" w:rsidRDefault="00CE6A4B">
      <w:pPr>
        <w:rPr>
          <w:rFonts w:ascii="Tele-GroteskNor" w:hAnsi="Tele-GroteskNor"/>
          <w:b/>
          <w:sz w:val="28"/>
          <w:u w:val="single"/>
        </w:rPr>
      </w:pPr>
      <w:r w:rsidRPr="00CE6A4B">
        <w:rPr>
          <w:rFonts w:ascii="Tele-GroteskNor" w:hAnsi="Tele-GroteskNor"/>
          <w:b/>
          <w:sz w:val="28"/>
          <w:u w:val="single"/>
        </w:rPr>
        <w:t>Zusätzliche Ausführungshinweise für Einmessungen nach ZTV-TKNetz 23</w:t>
      </w:r>
    </w:p>
    <w:p w:rsidR="00CE6A4B" w:rsidRPr="001A70D0" w:rsidRDefault="00CE6A4B" w:rsidP="00DC1F37">
      <w:pPr>
        <w:spacing w:after="120" w:line="240" w:lineRule="auto"/>
        <w:rPr>
          <w:rFonts w:ascii="Tele-GroteskNor" w:hAnsi="Tele-GroteskNor"/>
          <w:sz w:val="24"/>
          <w:szCs w:val="24"/>
          <w:u w:val="single"/>
        </w:rPr>
      </w:pPr>
      <w:r w:rsidRPr="001A70D0">
        <w:rPr>
          <w:rFonts w:ascii="Tele-GroteskNor" w:hAnsi="Tele-GroteskNor"/>
          <w:sz w:val="24"/>
          <w:szCs w:val="24"/>
          <w:u w:val="single"/>
        </w:rPr>
        <w:t>Allgemeines:</w:t>
      </w:r>
    </w:p>
    <w:p w:rsidR="00CE6A4B" w:rsidRDefault="00CE6A4B" w:rsidP="00AA1126">
      <w:pPr>
        <w:pStyle w:val="Listenabsatz"/>
        <w:numPr>
          <w:ilvl w:val="0"/>
          <w:numId w:val="1"/>
        </w:numPr>
        <w:ind w:left="284" w:right="-115" w:hanging="284"/>
        <w:rPr>
          <w:rFonts w:ascii="Tele-GroteskNor" w:hAnsi="Tele-GroteskNor"/>
        </w:rPr>
      </w:pPr>
      <w:r w:rsidRPr="00CE6A4B">
        <w:rPr>
          <w:rFonts w:ascii="Tele-GroteskNor" w:hAnsi="Tele-GroteskNor"/>
        </w:rPr>
        <w:t xml:space="preserve">Bei der Beauftragung und Durchführung von Einmessarbeiten sind die Festlegungen </w:t>
      </w:r>
      <w:r w:rsidR="00DC1F37">
        <w:rPr>
          <w:rFonts w:ascii="Tele-GroteskNor" w:hAnsi="Tele-GroteskNor"/>
        </w:rPr>
        <w:t>im</w:t>
      </w:r>
      <w:r w:rsidRPr="00CE6A4B">
        <w:rPr>
          <w:rFonts w:ascii="Tele-GroteskNor" w:hAnsi="Tele-GroteskNor"/>
        </w:rPr>
        <w:t xml:space="preserve"> </w:t>
      </w:r>
      <w:r w:rsidR="00DC1F37">
        <w:rPr>
          <w:rFonts w:ascii="Tele-GroteskNor" w:hAnsi="Tele-GroteskNor"/>
        </w:rPr>
        <w:t>Abschnitt</w:t>
      </w:r>
      <w:r w:rsidRPr="00CE6A4B">
        <w:rPr>
          <w:rFonts w:ascii="Tele-GroteskNor" w:hAnsi="Tele-GroteskNor"/>
        </w:rPr>
        <w:t xml:space="preserve"> 5ff zu beachten.</w:t>
      </w:r>
    </w:p>
    <w:p w:rsidR="00341809" w:rsidRDefault="00341809" w:rsidP="00AA1126">
      <w:pPr>
        <w:pStyle w:val="Listenabsatz"/>
        <w:numPr>
          <w:ilvl w:val="0"/>
          <w:numId w:val="1"/>
        </w:numPr>
        <w:ind w:left="284" w:right="-115" w:hanging="284"/>
        <w:rPr>
          <w:rFonts w:ascii="Tele-GroteskNor" w:hAnsi="Tele-GroteskNor"/>
        </w:rPr>
      </w:pPr>
      <w:r>
        <w:rPr>
          <w:rFonts w:ascii="Tele-GroteskNor" w:hAnsi="Tele-GroteskNor"/>
        </w:rPr>
        <w:t>Dem AN sind</w:t>
      </w:r>
      <w:r w:rsidRPr="00DC1F37">
        <w:rPr>
          <w:rFonts w:ascii="Tele-GroteskNor" w:hAnsi="Tele-GroteskNor"/>
        </w:rPr>
        <w:t xml:space="preserve"> </w:t>
      </w:r>
      <w:r w:rsidRPr="00341809">
        <w:rPr>
          <w:rFonts w:ascii="Tele-GroteskNor" w:hAnsi="Tele-GroteskNor"/>
          <w:u w:val="single"/>
        </w:rPr>
        <w:t>immer</w:t>
      </w:r>
      <w:r>
        <w:rPr>
          <w:rFonts w:ascii="Tele-GroteskNor" w:hAnsi="Tele-GroteskNor"/>
        </w:rPr>
        <w:t xml:space="preserve"> gem. </w:t>
      </w:r>
      <w:r w:rsidR="00DC1F37">
        <w:rPr>
          <w:rFonts w:ascii="Tele-GroteskNor" w:hAnsi="Tele-GroteskNor"/>
        </w:rPr>
        <w:t>Abs</w:t>
      </w:r>
      <w:r>
        <w:rPr>
          <w:rFonts w:ascii="Tele-GroteskNor" w:hAnsi="Tele-GroteskNor"/>
        </w:rPr>
        <w:t xml:space="preserve">. 5.2 Unterlagen bereitzustellen. Alternativ kann </w:t>
      </w:r>
      <w:r w:rsidRPr="0010494A">
        <w:rPr>
          <w:rFonts w:ascii="Tele-GroteskNor" w:hAnsi="Tele-GroteskNor"/>
          <w:u w:val="single"/>
        </w:rPr>
        <w:t>AN mit Rahmenvertrag</w:t>
      </w:r>
      <w:r>
        <w:rPr>
          <w:rFonts w:ascii="Tele-GroteskNor" w:hAnsi="Tele-GroteskNor"/>
        </w:rPr>
        <w:t xml:space="preserve"> ein lesender Zugang zu MEGAPLAN zu diesem Zweck eingerichtet werden.</w:t>
      </w:r>
    </w:p>
    <w:p w:rsidR="00471A8C" w:rsidRDefault="00471A8C" w:rsidP="00AA1126">
      <w:pPr>
        <w:pStyle w:val="Listenabsatz"/>
        <w:ind w:left="284" w:right="-115"/>
        <w:rPr>
          <w:rFonts w:ascii="Tele-GroteskNor" w:hAnsi="Tele-GroteskNor"/>
        </w:rPr>
      </w:pPr>
      <w:r>
        <w:rPr>
          <w:rFonts w:ascii="Tele-GroteskNor" w:hAnsi="Tele-GroteskNor"/>
        </w:rPr>
        <w:t>Vermarkungsmaterial (Kabelmarken, Verankerungsnägel, Stiftmarker) sind rechtzeitig vor Baubeginn zu beschaffen und dem AN zur Verfügung zu stellen.</w:t>
      </w:r>
    </w:p>
    <w:p w:rsidR="00E2178C" w:rsidRPr="001A70D0" w:rsidRDefault="00E2178C" w:rsidP="00DC1F37">
      <w:pPr>
        <w:spacing w:after="120" w:line="240" w:lineRule="auto"/>
        <w:ind w:left="284" w:hanging="284"/>
        <w:rPr>
          <w:rFonts w:ascii="Tele-GroteskNor" w:hAnsi="Tele-GroteskNor"/>
          <w:sz w:val="24"/>
          <w:u w:val="single"/>
        </w:rPr>
      </w:pPr>
      <w:r w:rsidRPr="001A70D0">
        <w:rPr>
          <w:rFonts w:ascii="Tele-GroteskNor" w:hAnsi="Tele-GroteskNor"/>
          <w:sz w:val="24"/>
          <w:u w:val="single"/>
        </w:rPr>
        <w:t>Aufnahme von Ortslagen:</w:t>
      </w:r>
    </w:p>
    <w:p w:rsidR="00341809" w:rsidRDefault="00E2178C" w:rsidP="00DC1F37">
      <w:pPr>
        <w:pStyle w:val="Listenabsatz"/>
        <w:numPr>
          <w:ilvl w:val="0"/>
          <w:numId w:val="2"/>
        </w:numPr>
        <w:ind w:left="284" w:hanging="284"/>
        <w:rPr>
          <w:rFonts w:ascii="Tele-GroteskNor" w:hAnsi="Tele-GroteskNor"/>
        </w:rPr>
      </w:pPr>
      <w:r>
        <w:rPr>
          <w:rFonts w:ascii="Tele-GroteskNor" w:hAnsi="Tele-GroteskNor"/>
        </w:rPr>
        <w:t>Bei der Aufnahme von Ortslagen sind die Anforderungen gem. Nr. 5.1 (4) zu beachten.</w:t>
      </w:r>
    </w:p>
    <w:p w:rsidR="00E2178C" w:rsidRPr="006D344F" w:rsidRDefault="00E2178C" w:rsidP="00F16822">
      <w:pPr>
        <w:pStyle w:val="Listenabsatz"/>
        <w:numPr>
          <w:ilvl w:val="0"/>
          <w:numId w:val="2"/>
        </w:numPr>
        <w:suppressAutoHyphens/>
        <w:ind w:left="284" w:hanging="284"/>
        <w:rPr>
          <w:rFonts w:ascii="Tele-GroteskNor" w:hAnsi="Tele-GroteskNor"/>
          <w:highlight w:val="yellow"/>
        </w:rPr>
      </w:pPr>
      <w:r>
        <w:rPr>
          <w:rFonts w:ascii="Tele-GroteskNor" w:hAnsi="Tele-GroteskNor"/>
        </w:rPr>
        <w:t>Nach der Neustrukturierung der Katasterinformationen erfolgt standardmäßig keine Abgabe von Ort</w:t>
      </w:r>
      <w:r w:rsidR="00AD2339">
        <w:rPr>
          <w:rFonts w:ascii="Tele-GroteskNor" w:hAnsi="Tele-GroteskNor"/>
        </w:rPr>
        <w:t>slag</w:t>
      </w:r>
      <w:r w:rsidR="00057397">
        <w:rPr>
          <w:rFonts w:ascii="Tele-GroteskNor" w:hAnsi="Tele-GroteskNor"/>
        </w:rPr>
        <w:t>e</w:t>
      </w:r>
      <w:r w:rsidR="00267DCA">
        <w:rPr>
          <w:rFonts w:ascii="Tele-GroteskNor" w:hAnsi="Tele-GroteskNor"/>
        </w:rPr>
        <w:t>-</w:t>
      </w:r>
      <w:r w:rsidR="00B810B4">
        <w:rPr>
          <w:rFonts w:ascii="Tele-GroteskNor" w:hAnsi="Tele-GroteskNor"/>
        </w:rPr>
        <w:t>I</w:t>
      </w:r>
      <w:r>
        <w:rPr>
          <w:rFonts w:ascii="Tele-GroteskNor" w:hAnsi="Tele-GroteskNor"/>
        </w:rPr>
        <w:t xml:space="preserve">nformationen wie z. B. Fahrbahnkanten, Zäunen etc. </w:t>
      </w:r>
      <w:r w:rsidRPr="006D344F">
        <w:rPr>
          <w:rFonts w:ascii="Tele-GroteskNor" w:hAnsi="Tele-GroteskNor"/>
          <w:highlight w:val="yellow"/>
        </w:rPr>
        <w:t xml:space="preserve">Diese sind jedoch zur Verdeutlichung der Lage innerhalb von Straßen- und Wegegrundstücken </w:t>
      </w:r>
      <w:r w:rsidRPr="006D344F">
        <w:rPr>
          <w:rFonts w:ascii="Tele-GroteskNor" w:hAnsi="Tele-GroteskNor"/>
          <w:b/>
          <w:highlight w:val="yellow"/>
          <w:u w:val="single"/>
        </w:rPr>
        <w:t>außerhalb</w:t>
      </w:r>
      <w:r w:rsidRPr="006D344F">
        <w:rPr>
          <w:rFonts w:ascii="Tele-GroteskNor" w:hAnsi="Tele-GroteskNor"/>
          <w:b/>
          <w:highlight w:val="yellow"/>
        </w:rPr>
        <w:t xml:space="preserve"> </w:t>
      </w:r>
      <w:r w:rsidRPr="006D344F">
        <w:rPr>
          <w:rFonts w:ascii="Tele-GroteskNor" w:hAnsi="Tele-GroteskNor"/>
          <w:highlight w:val="yellow"/>
        </w:rPr>
        <w:t>der</w:t>
      </w:r>
      <w:r w:rsidRPr="006D344F">
        <w:rPr>
          <w:rFonts w:ascii="Tele-GroteskNor" w:hAnsi="Tele-GroteskNor"/>
          <w:b/>
          <w:highlight w:val="yellow"/>
        </w:rPr>
        <w:t xml:space="preserve"> Bebauung</w:t>
      </w:r>
      <w:r w:rsidRPr="006D344F">
        <w:rPr>
          <w:rFonts w:ascii="Tele-GroteskNor" w:hAnsi="Tele-GroteskNor"/>
          <w:highlight w:val="yellow"/>
        </w:rPr>
        <w:t xml:space="preserve"> </w:t>
      </w:r>
      <w:r w:rsidR="00B810B4" w:rsidRPr="006D344F">
        <w:rPr>
          <w:rFonts w:ascii="Tele-GroteskNor" w:hAnsi="Tele-GroteskNor"/>
          <w:highlight w:val="yellow"/>
        </w:rPr>
        <w:t xml:space="preserve">häufig </w:t>
      </w:r>
      <w:r w:rsidRPr="006D344F">
        <w:rPr>
          <w:rFonts w:ascii="Tele-GroteskNor" w:hAnsi="Tele-GroteskNor"/>
          <w:highlight w:val="yellow"/>
        </w:rPr>
        <w:t>notwendig</w:t>
      </w:r>
      <w:r w:rsidR="0005686A" w:rsidRPr="006D344F">
        <w:rPr>
          <w:rFonts w:ascii="Tele-GroteskNor" w:hAnsi="Tele-GroteskNor"/>
          <w:highlight w:val="yellow"/>
        </w:rPr>
        <w:t xml:space="preserve"> und im Z</w:t>
      </w:r>
      <w:r w:rsidR="00F16822" w:rsidRPr="006D344F">
        <w:rPr>
          <w:rFonts w:ascii="Tele-GroteskNor" w:hAnsi="Tele-GroteskNor"/>
          <w:highlight w:val="yellow"/>
        </w:rPr>
        <w:t>u</w:t>
      </w:r>
      <w:r w:rsidR="0005686A" w:rsidRPr="006D344F">
        <w:rPr>
          <w:rFonts w:ascii="Tele-GroteskNor" w:hAnsi="Tele-GroteskNor"/>
          <w:highlight w:val="yellow"/>
        </w:rPr>
        <w:t xml:space="preserve">ge der Einmessung </w:t>
      </w:r>
      <w:r w:rsidR="002E26B3">
        <w:rPr>
          <w:rFonts w:ascii="Tele-GroteskNor" w:hAnsi="Tele-GroteskNor"/>
          <w:highlight w:val="yellow"/>
        </w:rPr>
        <w:br/>
      </w:r>
      <w:r w:rsidR="00B810B4" w:rsidRPr="006D344F">
        <w:rPr>
          <w:rFonts w:ascii="Tele-GroteskNor" w:hAnsi="Tele-GroteskNor"/>
          <w:b/>
          <w:highlight w:val="yellow"/>
        </w:rPr>
        <w:t xml:space="preserve">in Absprache </w:t>
      </w:r>
      <w:r w:rsidR="00B810B4" w:rsidRPr="006D344F">
        <w:rPr>
          <w:rFonts w:ascii="Tele-GroteskNor" w:hAnsi="Tele-GroteskNor"/>
          <w:highlight w:val="yellow"/>
        </w:rPr>
        <w:t>mit dem</w:t>
      </w:r>
      <w:r w:rsidR="00B810B4" w:rsidRPr="006D344F">
        <w:rPr>
          <w:rFonts w:ascii="Tele-GroteskNor" w:hAnsi="Tele-GroteskNor"/>
          <w:b/>
          <w:highlight w:val="yellow"/>
        </w:rPr>
        <w:t xml:space="preserve"> BvT </w:t>
      </w:r>
      <w:r w:rsidR="0005686A" w:rsidRPr="006D344F">
        <w:rPr>
          <w:rFonts w:ascii="Tele-GroteskNor" w:hAnsi="Tele-GroteskNor"/>
          <w:highlight w:val="yellow"/>
        </w:rPr>
        <w:t>mit auf</w:t>
      </w:r>
      <w:r w:rsidR="00B810B4" w:rsidRPr="006D344F">
        <w:rPr>
          <w:rFonts w:ascii="Tele-GroteskNor" w:hAnsi="Tele-GroteskNor"/>
          <w:highlight w:val="yellow"/>
        </w:rPr>
        <w:t>zu</w:t>
      </w:r>
      <w:r w:rsidR="0005686A" w:rsidRPr="006D344F">
        <w:rPr>
          <w:rFonts w:ascii="Tele-GroteskNor" w:hAnsi="Tele-GroteskNor"/>
          <w:highlight w:val="yellow"/>
        </w:rPr>
        <w:t>n</w:t>
      </w:r>
      <w:r w:rsidR="00B810B4" w:rsidRPr="006D344F">
        <w:rPr>
          <w:rFonts w:ascii="Tele-GroteskNor" w:hAnsi="Tele-GroteskNor"/>
          <w:highlight w:val="yellow"/>
        </w:rPr>
        <w:t>eh</w:t>
      </w:r>
      <w:r w:rsidR="0005686A" w:rsidRPr="006D344F">
        <w:rPr>
          <w:rFonts w:ascii="Tele-GroteskNor" w:hAnsi="Tele-GroteskNor"/>
          <w:highlight w:val="yellow"/>
        </w:rPr>
        <w:t>men</w:t>
      </w:r>
      <w:r w:rsidRPr="006D344F">
        <w:rPr>
          <w:rFonts w:ascii="Tele-GroteskNor" w:hAnsi="Tele-GroteskNor"/>
          <w:highlight w:val="yellow"/>
        </w:rPr>
        <w:t>.</w:t>
      </w:r>
    </w:p>
    <w:p w:rsidR="0005686A" w:rsidRDefault="0005686A" w:rsidP="00DC1F37">
      <w:pPr>
        <w:pStyle w:val="Listenabsatz"/>
        <w:numPr>
          <w:ilvl w:val="0"/>
          <w:numId w:val="2"/>
        </w:numPr>
        <w:ind w:left="284" w:hanging="284"/>
        <w:rPr>
          <w:rFonts w:ascii="Tele-GroteskNor" w:hAnsi="Tele-GroteskNor"/>
        </w:rPr>
      </w:pPr>
      <w:r w:rsidRPr="0005686A">
        <w:rPr>
          <w:rFonts w:ascii="Tele-GroteskNor" w:hAnsi="Tele-GroteskNor"/>
          <w:b/>
        </w:rPr>
        <w:t xml:space="preserve">Innerhalb </w:t>
      </w:r>
      <w:r w:rsidRPr="00135446">
        <w:rPr>
          <w:rFonts w:ascii="Tele-GroteskNor" w:hAnsi="Tele-GroteskNor"/>
        </w:rPr>
        <w:t>der</w:t>
      </w:r>
      <w:r w:rsidRPr="0005686A">
        <w:rPr>
          <w:rFonts w:ascii="Tele-GroteskNor" w:hAnsi="Tele-GroteskNor"/>
          <w:b/>
        </w:rPr>
        <w:t xml:space="preserve"> Bebauung</w:t>
      </w:r>
      <w:r>
        <w:rPr>
          <w:rFonts w:ascii="Tele-GroteskNor" w:hAnsi="Tele-GroteskNor"/>
        </w:rPr>
        <w:t xml:space="preserve"> sind Ortslagen </w:t>
      </w:r>
      <w:r w:rsidRPr="0005686A">
        <w:rPr>
          <w:rFonts w:ascii="Tele-GroteskNor" w:hAnsi="Tele-GroteskNor"/>
          <w:b/>
        </w:rPr>
        <w:t xml:space="preserve">nur nach Rücksprache </w:t>
      </w:r>
      <w:r w:rsidRPr="00135446">
        <w:rPr>
          <w:rFonts w:ascii="Tele-GroteskNor" w:hAnsi="Tele-GroteskNor"/>
        </w:rPr>
        <w:t xml:space="preserve">mit </w:t>
      </w:r>
      <w:r w:rsidR="00135446" w:rsidRPr="00135446">
        <w:rPr>
          <w:rFonts w:ascii="Tele-GroteskNor" w:hAnsi="Tele-GroteskNor"/>
        </w:rPr>
        <w:t>dem</w:t>
      </w:r>
      <w:r w:rsidR="00135446">
        <w:rPr>
          <w:rFonts w:ascii="Tele-GroteskNor" w:hAnsi="Tele-GroteskNor"/>
          <w:b/>
        </w:rPr>
        <w:t xml:space="preserve"> BvT </w:t>
      </w:r>
      <w:r w:rsidR="00135446" w:rsidRPr="00135446">
        <w:rPr>
          <w:rFonts w:ascii="Tele-GroteskNor" w:hAnsi="Tele-GroteskNor"/>
        </w:rPr>
        <w:t>in</w:t>
      </w:r>
      <w:r w:rsidR="00135446">
        <w:rPr>
          <w:rFonts w:ascii="Tele-GroteskNor" w:hAnsi="Tele-GroteskNor"/>
          <w:b/>
        </w:rPr>
        <w:t xml:space="preserve"> begründeten Ausnahme</w:t>
      </w:r>
      <w:r w:rsidRPr="0005686A">
        <w:rPr>
          <w:rFonts w:ascii="Tele-GroteskNor" w:hAnsi="Tele-GroteskNor"/>
          <w:b/>
        </w:rPr>
        <w:t>fällen</w:t>
      </w:r>
      <w:r>
        <w:rPr>
          <w:rFonts w:ascii="Tele-GroteskNor" w:hAnsi="Tele-GroteskNor"/>
        </w:rPr>
        <w:t xml:space="preserve"> aufzunehmen!</w:t>
      </w:r>
    </w:p>
    <w:p w:rsidR="0005686A" w:rsidRPr="00135446" w:rsidRDefault="0005686A" w:rsidP="00DC1F37">
      <w:pPr>
        <w:pStyle w:val="Listenabsatz"/>
        <w:numPr>
          <w:ilvl w:val="0"/>
          <w:numId w:val="2"/>
        </w:numPr>
        <w:ind w:left="284" w:hanging="284"/>
        <w:rPr>
          <w:rFonts w:ascii="Tele-GroteskNor" w:hAnsi="Tele-GroteskNor"/>
        </w:rPr>
      </w:pPr>
      <w:r>
        <w:rPr>
          <w:rFonts w:ascii="Tele-GroteskNor" w:hAnsi="Tele-GroteskNor"/>
        </w:rPr>
        <w:t xml:space="preserve">Ortslagen wie Fahrbahnkanten, Wegränder, Bordsteinkanten dürfen nicht zu dem Zweck aufgenommen werden, damit hierauf eine Bemaßung der Fernmeldetrasse erstellt werden kann! </w:t>
      </w:r>
      <w:r w:rsidR="00135446">
        <w:rPr>
          <w:rFonts w:ascii="Tele-GroteskNor" w:hAnsi="Tele-GroteskNor"/>
        </w:rPr>
        <w:br/>
      </w:r>
      <w:r w:rsidRPr="00135446">
        <w:rPr>
          <w:rFonts w:ascii="Tele-GroteskNor" w:hAnsi="Tele-GroteskNor"/>
        </w:rPr>
        <w:t xml:space="preserve">Bemaßungen auf Basis von </w:t>
      </w:r>
      <w:r w:rsidR="00C83655" w:rsidRPr="00135446">
        <w:rPr>
          <w:rFonts w:ascii="Tele-GroteskNor" w:hAnsi="Tele-GroteskNor"/>
        </w:rPr>
        <w:t>Fahrbahnka</w:t>
      </w:r>
      <w:r w:rsidR="00135446">
        <w:rPr>
          <w:rFonts w:ascii="Tele-GroteskNor" w:hAnsi="Tele-GroteskNor"/>
        </w:rPr>
        <w:t>n</w:t>
      </w:r>
      <w:r w:rsidR="00C83655" w:rsidRPr="00135446">
        <w:rPr>
          <w:rFonts w:ascii="Tele-GroteskNor" w:hAnsi="Tele-GroteskNor"/>
        </w:rPr>
        <w:t>ten, Weg</w:t>
      </w:r>
      <w:r w:rsidR="00135446">
        <w:rPr>
          <w:rFonts w:ascii="Tele-GroteskNor" w:hAnsi="Tele-GroteskNor"/>
        </w:rPr>
        <w:t>e</w:t>
      </w:r>
      <w:r w:rsidR="00C83655" w:rsidRPr="00135446">
        <w:rPr>
          <w:rFonts w:ascii="Tele-GroteskNor" w:hAnsi="Tele-GroteskNor"/>
        </w:rPr>
        <w:t>rändern und</w:t>
      </w:r>
      <w:r w:rsidRPr="00135446">
        <w:rPr>
          <w:rFonts w:ascii="Tele-GroteskNor" w:hAnsi="Tele-GroteskNor"/>
        </w:rPr>
        <w:t xml:space="preserve"> Bordsteinkanten sind </w:t>
      </w:r>
      <w:r w:rsidRPr="00135446">
        <w:rPr>
          <w:rFonts w:ascii="Tele-GroteskNor" w:hAnsi="Tele-GroteskNor"/>
          <w:b/>
        </w:rPr>
        <w:t>nicht</w:t>
      </w:r>
      <w:r w:rsidRPr="00135446">
        <w:rPr>
          <w:rFonts w:ascii="Tele-GroteskNor" w:hAnsi="Tele-GroteskNor"/>
        </w:rPr>
        <w:t xml:space="preserve"> gestattet!</w:t>
      </w:r>
    </w:p>
    <w:p w:rsidR="008703A3" w:rsidRPr="008703A3" w:rsidRDefault="008703A3" w:rsidP="00180824">
      <w:pPr>
        <w:spacing w:after="120" w:line="240" w:lineRule="auto"/>
        <w:ind w:left="284" w:hanging="284"/>
        <w:rPr>
          <w:rFonts w:ascii="Tele-GroteskNor" w:hAnsi="Tele-GroteskNor"/>
          <w:u w:val="single"/>
        </w:rPr>
      </w:pPr>
      <w:r w:rsidRPr="008703A3">
        <w:rPr>
          <w:rFonts w:ascii="Tele-GroteskNor" w:hAnsi="Tele-GroteskNor"/>
          <w:u w:val="single"/>
        </w:rPr>
        <w:t>Einbau von Kabelmarken und Verwendung von Grenzmarkierungen als Standlinienbegrenzer:</w:t>
      </w:r>
    </w:p>
    <w:p w:rsidR="008703A3" w:rsidRDefault="00EC1DAE" w:rsidP="001C0D8E">
      <w:pPr>
        <w:pStyle w:val="Listenabsatz"/>
        <w:numPr>
          <w:ilvl w:val="0"/>
          <w:numId w:val="4"/>
        </w:numPr>
        <w:tabs>
          <w:tab w:val="left" w:pos="6946"/>
        </w:tabs>
        <w:ind w:left="284" w:right="2153" w:hanging="284"/>
        <w:rPr>
          <w:rFonts w:ascii="Tele-GroteskNor" w:hAnsi="Tele-GroteskNor"/>
        </w:rPr>
      </w:pPr>
      <w:r>
        <w:rPr>
          <w:rFonts w:ascii="Tele-GroteskNor" w:hAnsi="Tele-GroteskNor"/>
          <w:noProof/>
          <w:lang w:eastAsia="de-DE"/>
        </w:rPr>
        <w:drawing>
          <wp:anchor distT="0" distB="0" distL="114300" distR="114300" simplePos="0" relativeHeight="251658240" behindDoc="1" locked="0" layoutInCell="1" allowOverlap="1">
            <wp:simplePos x="0" y="0"/>
            <wp:positionH relativeFrom="column">
              <wp:posOffset>4735195</wp:posOffset>
            </wp:positionH>
            <wp:positionV relativeFrom="paragraph">
              <wp:posOffset>-13970</wp:posOffset>
            </wp:positionV>
            <wp:extent cx="1639570" cy="3082925"/>
            <wp:effectExtent l="19050" t="0" r="0" b="0"/>
            <wp:wrapTight wrapText="bothSides">
              <wp:wrapPolygon edited="0">
                <wp:start x="-251" y="0"/>
                <wp:lineTo x="-251" y="21489"/>
                <wp:lineTo x="21583" y="21489"/>
                <wp:lineTo x="21583" y="0"/>
                <wp:lineTo x="-251" y="0"/>
              </wp:wrapPolygon>
            </wp:wrapTight>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1639570" cy="3082925"/>
                    </a:xfrm>
                    <a:prstGeom prst="rect">
                      <a:avLst/>
                    </a:prstGeom>
                    <a:noFill/>
                    <a:ln w="9525">
                      <a:noFill/>
                      <a:miter lim="800000"/>
                      <a:headEnd/>
                      <a:tailEnd/>
                    </a:ln>
                  </pic:spPr>
                </pic:pic>
              </a:graphicData>
            </a:graphic>
          </wp:anchor>
        </w:drawing>
      </w:r>
      <w:r w:rsidR="008703A3">
        <w:rPr>
          <w:rFonts w:ascii="Tele-GroteskNor" w:hAnsi="Tele-GroteskNor"/>
        </w:rPr>
        <w:t>Kabelmarken sind immer dann als Standlinienbegrenzer einzubauen, wenn keine ge</w:t>
      </w:r>
      <w:r w:rsidR="00390B21">
        <w:rPr>
          <w:rFonts w:ascii="Tele-GroteskNor" w:hAnsi="Tele-GroteskNor"/>
        </w:rPr>
        <w:t>-</w:t>
      </w:r>
      <w:r w:rsidR="008703A3">
        <w:rPr>
          <w:rFonts w:ascii="Tele-GroteskNor" w:hAnsi="Tele-GroteskNor"/>
        </w:rPr>
        <w:t xml:space="preserve">eigneten Oberflächenmerkmale wie </w:t>
      </w:r>
      <w:r w:rsidR="008703A3" w:rsidRPr="008703A3">
        <w:rPr>
          <w:rFonts w:ascii="Tele-GroteskNor" w:hAnsi="Tele-GroteskNor"/>
          <w:u w:val="single"/>
        </w:rPr>
        <w:t>sichtbare</w:t>
      </w:r>
      <w:r w:rsidR="008703A3">
        <w:rPr>
          <w:rFonts w:ascii="Tele-GroteskNor" w:hAnsi="Tele-GroteskNor"/>
        </w:rPr>
        <w:t xml:space="preserve"> Grenzvermarkungen, Wasserschächte, Hydranten, </w:t>
      </w:r>
      <w:r w:rsidR="00D51E16">
        <w:rPr>
          <w:rFonts w:ascii="Tele-GroteskNor" w:hAnsi="Tele-GroteskNor"/>
        </w:rPr>
        <w:t>Strommaste,</w:t>
      </w:r>
      <w:r w:rsidR="00390B21">
        <w:rPr>
          <w:rFonts w:ascii="Tele-GroteskNor" w:hAnsi="Tele-GroteskNor"/>
        </w:rPr>
        <w:t xml:space="preserve"> </w:t>
      </w:r>
      <w:r w:rsidR="008703A3">
        <w:rPr>
          <w:rFonts w:ascii="Tele-GroteskNor" w:hAnsi="Tele-GroteskNor"/>
        </w:rPr>
        <w:t>Höhenmarken</w:t>
      </w:r>
      <w:r w:rsidR="00390B21">
        <w:rPr>
          <w:rFonts w:ascii="Tele-GroteskNor" w:hAnsi="Tele-GroteskNor"/>
        </w:rPr>
        <w:t xml:space="preserve">, </w:t>
      </w:r>
      <w:r w:rsidR="00D51E16">
        <w:rPr>
          <w:rFonts w:ascii="Tele-GroteskNor" w:hAnsi="Tele-GroteskNor"/>
        </w:rPr>
        <w:t xml:space="preserve">oder </w:t>
      </w:r>
      <w:r w:rsidR="001C0D8E">
        <w:rPr>
          <w:rFonts w:ascii="Tele-GroteskNor" w:hAnsi="Tele-GroteskNor"/>
        </w:rPr>
        <w:t>Trigonometrische Punkte (</w:t>
      </w:r>
      <w:r w:rsidR="00D51E16">
        <w:rPr>
          <w:rFonts w:ascii="Tele-GroteskNor" w:hAnsi="Tele-GroteskNor"/>
        </w:rPr>
        <w:t>TP’s</w:t>
      </w:r>
      <w:r w:rsidR="001C0D8E">
        <w:rPr>
          <w:rFonts w:ascii="Tele-GroteskNor" w:hAnsi="Tele-GroteskNor"/>
        </w:rPr>
        <w:t xml:space="preserve">) </w:t>
      </w:r>
      <w:r w:rsidR="00D51E16">
        <w:rPr>
          <w:rFonts w:ascii="Tele-GroteskNor" w:hAnsi="Tele-GroteskNor"/>
        </w:rPr>
        <w:t xml:space="preserve"> vorhanden sind. Lampenmaste sind als Maßbezugspunkte </w:t>
      </w:r>
      <w:r w:rsidR="00D51E16" w:rsidRPr="00D51E16">
        <w:rPr>
          <w:rFonts w:ascii="Tele-GroteskNor" w:hAnsi="Tele-GroteskNor"/>
          <w:u w:val="single"/>
        </w:rPr>
        <w:t>nicht zulässig</w:t>
      </w:r>
      <w:r w:rsidR="00D51E16">
        <w:rPr>
          <w:rFonts w:ascii="Tele-GroteskNor" w:hAnsi="Tele-GroteskNor"/>
        </w:rPr>
        <w:t>.</w:t>
      </w:r>
    </w:p>
    <w:p w:rsidR="00D51E16" w:rsidRDefault="00CC0083" w:rsidP="001C0D8E">
      <w:pPr>
        <w:pStyle w:val="Listenabsatz"/>
        <w:numPr>
          <w:ilvl w:val="0"/>
          <w:numId w:val="4"/>
        </w:numPr>
        <w:tabs>
          <w:tab w:val="left" w:pos="6946"/>
        </w:tabs>
        <w:ind w:left="284" w:right="2153" w:hanging="284"/>
        <w:rPr>
          <w:rFonts w:ascii="Tele-GroteskNor" w:hAnsi="Tele-GroteskNor"/>
        </w:rPr>
      </w:pPr>
      <w:r>
        <w:rPr>
          <w:rFonts w:ascii="Tele-GroteskNor" w:hAnsi="Tele-GroteskNor"/>
          <w:noProof/>
          <w:u w:val="single"/>
          <w:lang w:eastAsia="de-DE"/>
        </w:rPr>
        <mc:AlternateContent>
          <mc:Choice Requires="wps">
            <w:drawing>
              <wp:anchor distT="0" distB="0" distL="114300" distR="114300" simplePos="0" relativeHeight="251662336" behindDoc="0" locked="0" layoutInCell="1" allowOverlap="1">
                <wp:simplePos x="0" y="0"/>
                <wp:positionH relativeFrom="column">
                  <wp:posOffset>5320665</wp:posOffset>
                </wp:positionH>
                <wp:positionV relativeFrom="paragraph">
                  <wp:posOffset>732155</wp:posOffset>
                </wp:positionV>
                <wp:extent cx="186690" cy="252095"/>
                <wp:effectExtent l="15875" t="10160" r="54610" b="520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252095"/>
                        </a:xfrm>
                        <a:prstGeom prst="straightConnector1">
                          <a:avLst/>
                        </a:prstGeom>
                        <a:noFill/>
                        <a:ln w="19050">
                          <a:solidFill>
                            <a:schemeClr val="bg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6AC555" id="_x0000_t32" coordsize="21600,21600" o:spt="32" o:oned="t" path="m,l21600,21600e" filled="f">
                <v:path arrowok="t" fillok="f" o:connecttype="none"/>
                <o:lock v:ext="edit" shapetype="t"/>
              </v:shapetype>
              <v:shape id="AutoShape 4" o:spid="_x0000_s1026" type="#_x0000_t32" style="position:absolute;margin-left:418.95pt;margin-top:57.65pt;width:14.7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" strokecolor="white [3212]" strokeweight="1.5pt">
                <v:stroke endarrow="block"/>
              </v:shape>
            </w:pict>
          </mc:Fallback>
        </mc:AlternateContent>
      </w:r>
      <w:r>
        <w:rPr>
          <w:rFonts w:ascii="Tele-GroteskNor" w:hAnsi="Tele-GroteskNor"/>
          <w:noProof/>
          <w:lang w:eastAsia="de-DE"/>
        </w:rPr>
        <mc:AlternateContent>
          <mc:Choice Requires="wps">
            <w:drawing>
              <wp:anchor distT="0" distB="0" distL="114300" distR="114300" simplePos="0" relativeHeight="251661312" behindDoc="0" locked="0" layoutInCell="1" allowOverlap="1">
                <wp:simplePos x="0" y="0"/>
                <wp:positionH relativeFrom="column">
                  <wp:posOffset>4702810</wp:posOffset>
                </wp:positionH>
                <wp:positionV relativeFrom="paragraph">
                  <wp:posOffset>528320</wp:posOffset>
                </wp:positionV>
                <wp:extent cx="767080" cy="203835"/>
                <wp:effectExtent l="7620" t="6350" r="635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203835"/>
                        </a:xfrm>
                        <a:prstGeom prst="rect">
                          <a:avLst/>
                        </a:prstGeom>
                        <a:solidFill>
                          <a:srgbClr val="FFFFFF"/>
                        </a:solidFill>
                        <a:ln w="9525">
                          <a:solidFill>
                            <a:srgbClr val="000000"/>
                          </a:solidFill>
                          <a:miter lim="800000"/>
                          <a:headEnd/>
                          <a:tailEnd/>
                        </a:ln>
                      </wps:spPr>
                      <wps:txbx>
                        <w:txbxContent>
                          <w:p w:rsidR="00F6375C" w:rsidRPr="00F6375C" w:rsidRDefault="00F6375C" w:rsidP="00F6375C">
                            <w:pPr>
                              <w:rPr>
                                <w:sz w:val="16"/>
                              </w:rPr>
                            </w:pPr>
                            <w:r>
                              <w:rPr>
                                <w:sz w:val="16"/>
                              </w:rPr>
                              <w:t>Kabel</w:t>
                            </w:r>
                            <w:r w:rsidRPr="00F6375C">
                              <w:rPr>
                                <w:sz w:val="16"/>
                              </w:rPr>
                              <w:t>marke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0.3pt;margin-top:41.6pt;width:60.4pt;height:1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">
                <v:textbox>
                  <w:txbxContent>
                    <w:p w:rsidR="00F6375C" w:rsidRPr="00F6375C" w:rsidRDefault="00F6375C" w:rsidP="00F6375C">
                      <w:pPr>
                        <w:rPr>
                          <w:sz w:val="16"/>
                        </w:rPr>
                      </w:pPr>
                      <w:r>
                        <w:rPr>
                          <w:sz w:val="16"/>
                        </w:rPr>
                        <w:t>Kabel</w:t>
                      </w:r>
                      <w:r w:rsidRPr="00F6375C">
                        <w:rPr>
                          <w:sz w:val="16"/>
                        </w:rPr>
                        <w:t>marke</w:t>
                      </w:r>
                    </w:p>
                  </w:txbxContent>
                </v:textbox>
              </v:shape>
            </w:pict>
          </mc:Fallback>
        </mc:AlternateContent>
      </w:r>
      <w:r w:rsidR="00D51E16">
        <w:rPr>
          <w:rFonts w:ascii="Tele-GroteskNor" w:hAnsi="Tele-GroteskNor"/>
        </w:rPr>
        <w:t xml:space="preserve">Zum Auffinden verdeckter Kabelmarken sind </w:t>
      </w:r>
      <w:r w:rsidR="00D51E16" w:rsidRPr="00CB3C1F">
        <w:rPr>
          <w:rFonts w:ascii="Tele-GroteskNor" w:hAnsi="Tele-GroteskNor"/>
          <w:b/>
          <w:u w:val="single"/>
        </w:rPr>
        <w:t>unter</w:t>
      </w:r>
      <w:r w:rsidR="00D51E16" w:rsidRPr="007062EF">
        <w:rPr>
          <w:rFonts w:ascii="Tele-GroteskNor" w:hAnsi="Tele-GroteskNor"/>
          <w:b/>
          <w:u w:val="single"/>
        </w:rPr>
        <w:t xml:space="preserve"> jeder</w:t>
      </w:r>
      <w:r w:rsidR="00D51E16" w:rsidRPr="007062EF">
        <w:rPr>
          <w:rFonts w:ascii="Tele-GroteskNor" w:hAnsi="Tele-GroteskNor"/>
          <w:u w:val="single"/>
        </w:rPr>
        <w:t xml:space="preserve"> Kabelmarke</w:t>
      </w:r>
      <w:r w:rsidR="00D51E16">
        <w:rPr>
          <w:rFonts w:ascii="Tele-GroteskNor" w:hAnsi="Tele-GroteskNor"/>
        </w:rPr>
        <w:t xml:space="preserve"> zentriert passive Schwingkreise in der Ausführung „Stiftmarker“ (Telekom-Mat.-Nr. 10080245) einzubauen. In Gegensatz zum Kugelmarker ist bei dieser Bauform (Durchmesser ca. 2 cm, Länge ca. 7cm) keine Baugrube erforderlich. Es ist lediglich mit einem Verankerungsnagel (700mm Länge) durch einschlagen und kreisförmiges Erweitern ein ca. 50cm tiefes konisches Loch vorzubereiten, in welches dann der Stiftmarker dann vorsichtig</w:t>
      </w:r>
      <w:r w:rsidR="007062EF">
        <w:rPr>
          <w:rFonts w:ascii="Tele-GroteskNor" w:hAnsi="Tele-GroteskNor"/>
        </w:rPr>
        <w:t xml:space="preserve"> hineingeschoben wird.</w:t>
      </w:r>
    </w:p>
    <w:p w:rsidR="007062EF" w:rsidRDefault="00CC0083" w:rsidP="001C0D8E">
      <w:pPr>
        <w:pStyle w:val="Listenabsatz"/>
        <w:numPr>
          <w:ilvl w:val="0"/>
          <w:numId w:val="4"/>
        </w:numPr>
        <w:tabs>
          <w:tab w:val="left" w:pos="6946"/>
        </w:tabs>
        <w:ind w:left="284" w:right="2153" w:hanging="284"/>
        <w:rPr>
          <w:rFonts w:ascii="Tele-GroteskNor" w:hAnsi="Tele-GroteskNor"/>
        </w:rPr>
      </w:pPr>
      <w:r>
        <w:rPr>
          <w:rFonts w:ascii="Tele-GroteskNor" w:hAnsi="Tele-GroteskNor"/>
          <w:noProof/>
          <w:lang w:eastAsia="de-DE"/>
        </w:rPr>
        <mc:AlternateContent>
          <mc:Choice Requires="wps">
            <w:drawing>
              <wp:anchor distT="0" distB="0" distL="114300" distR="114300" simplePos="0" relativeHeight="251663360" behindDoc="0" locked="0" layoutInCell="1" allowOverlap="1">
                <wp:simplePos x="0" y="0"/>
                <wp:positionH relativeFrom="column">
                  <wp:posOffset>5354955</wp:posOffset>
                </wp:positionH>
                <wp:positionV relativeFrom="paragraph">
                  <wp:posOffset>656590</wp:posOffset>
                </wp:positionV>
                <wp:extent cx="152400" cy="0"/>
                <wp:effectExtent l="12065" t="65405" r="26035" b="5842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19050">
                          <a:solidFill>
                            <a:schemeClr val="bg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754A6" id="AutoShape 5" o:spid="_x0000_s1026" type="#_x0000_t32" style="position:absolute;margin-left:421.65pt;margin-top:51.7pt;width:1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" strokecolor="white [3212]" strokeweight="1.5pt">
                <v:stroke endarrow="block"/>
              </v:shape>
            </w:pict>
          </mc:Fallback>
        </mc:AlternateContent>
      </w:r>
      <w:r>
        <w:rPr>
          <w:rFonts w:ascii="Tele-GroteskNor" w:hAnsi="Tele-GroteskNor"/>
          <w:noProof/>
        </w:rPr>
        <mc:AlternateContent>
          <mc:Choice Requires="wps">
            <w:drawing>
              <wp:anchor distT="0" distB="0" distL="114300" distR="114300" simplePos="0" relativeHeight="251660288" behindDoc="0" locked="0" layoutInCell="1" allowOverlap="1">
                <wp:simplePos x="0" y="0"/>
                <wp:positionH relativeFrom="column">
                  <wp:posOffset>4701540</wp:posOffset>
                </wp:positionH>
                <wp:positionV relativeFrom="paragraph">
                  <wp:posOffset>559435</wp:posOffset>
                </wp:positionV>
                <wp:extent cx="685800" cy="203835"/>
                <wp:effectExtent l="6350" t="6350" r="1270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03835"/>
                        </a:xfrm>
                        <a:prstGeom prst="rect">
                          <a:avLst/>
                        </a:prstGeom>
                        <a:solidFill>
                          <a:srgbClr val="FFFFFF"/>
                        </a:solidFill>
                        <a:ln w="9525">
                          <a:solidFill>
                            <a:srgbClr val="000000"/>
                          </a:solidFill>
                          <a:miter lim="800000"/>
                          <a:headEnd/>
                          <a:tailEnd/>
                        </a:ln>
                      </wps:spPr>
                      <wps:txbx>
                        <w:txbxContent>
                          <w:p w:rsidR="00F6375C" w:rsidRPr="00F6375C" w:rsidRDefault="00F6375C">
                            <w:pPr>
                              <w:rPr>
                                <w:sz w:val="16"/>
                              </w:rPr>
                            </w:pPr>
                            <w:r w:rsidRPr="00F6375C">
                              <w:rPr>
                                <w:sz w:val="16"/>
                              </w:rPr>
                              <w:t>Stiftmarker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70.2pt;margin-top:44.05pt;width:54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">
                <v:textbox>
                  <w:txbxContent>
                    <w:p w:rsidR="00F6375C" w:rsidRPr="00F6375C" w:rsidRDefault="00F6375C">
                      <w:pPr>
                        <w:rPr>
                          <w:sz w:val="16"/>
                        </w:rPr>
                      </w:pPr>
                      <w:r w:rsidRPr="00F6375C">
                        <w:rPr>
                          <w:sz w:val="16"/>
                        </w:rPr>
                        <w:t>Stiftmarker</w:t>
                      </w:r>
                    </w:p>
                  </w:txbxContent>
                </v:textbox>
              </v:shape>
            </w:pict>
          </mc:Fallback>
        </mc:AlternateContent>
      </w:r>
      <w:r w:rsidR="007062EF">
        <w:rPr>
          <w:rFonts w:ascii="Tele-GroteskNor" w:hAnsi="Tele-GroteskNor"/>
        </w:rPr>
        <w:t xml:space="preserve">Zur Kennzeichnung verwendeter Grenzvermarkungen kann </w:t>
      </w:r>
      <w:r w:rsidR="007062EF" w:rsidRPr="007062EF">
        <w:rPr>
          <w:rFonts w:ascii="Tele-GroteskNor" w:hAnsi="Tele-GroteskNor"/>
          <w:u w:val="single"/>
        </w:rPr>
        <w:t>neben</w:t>
      </w:r>
      <w:r w:rsidR="007062EF">
        <w:rPr>
          <w:rFonts w:ascii="Tele-GroteskNor" w:hAnsi="Tele-GroteskNor"/>
        </w:rPr>
        <w:t xml:space="preserve"> diesen nach vorher beschriebenen Verfahren ein Stiftmarker eingebaut werden. Die so gekennzeichneten Grenzvermarkungen sind in den Einmessunterlagen zu kennzeichnen.</w:t>
      </w:r>
    </w:p>
    <w:p w:rsidR="00CB3C1F" w:rsidRPr="001A70D0" w:rsidRDefault="00CB3C1F" w:rsidP="00CB3C1F">
      <w:pPr>
        <w:spacing w:after="120" w:line="240" w:lineRule="auto"/>
        <w:ind w:left="284" w:hanging="284"/>
        <w:rPr>
          <w:rFonts w:ascii="Tele-GroteskNor" w:hAnsi="Tele-GroteskNor"/>
          <w:sz w:val="24"/>
          <w:szCs w:val="24"/>
          <w:u w:val="single"/>
        </w:rPr>
      </w:pPr>
      <w:r w:rsidRPr="001A70D0">
        <w:rPr>
          <w:rFonts w:ascii="Tele-GroteskNor" w:hAnsi="Tele-GroteskNor"/>
          <w:sz w:val="24"/>
          <w:szCs w:val="24"/>
          <w:u w:val="single"/>
        </w:rPr>
        <w:t>Einmessen von Trassen:</w:t>
      </w:r>
    </w:p>
    <w:p w:rsidR="00CB3C1F" w:rsidRPr="00A540A3" w:rsidRDefault="00CB3C1F" w:rsidP="00CB3C1F">
      <w:pPr>
        <w:pStyle w:val="Listenabsatz"/>
        <w:numPr>
          <w:ilvl w:val="0"/>
          <w:numId w:val="3"/>
        </w:numPr>
        <w:ind w:left="284" w:hanging="284"/>
        <w:rPr>
          <w:rFonts w:ascii="Tele-GroteskNor" w:hAnsi="Tele-GroteskNor"/>
          <w:color w:val="000000" w:themeColor="text1"/>
          <w:highlight w:val="yellow"/>
        </w:rPr>
      </w:pPr>
      <w:r>
        <w:rPr>
          <w:rFonts w:ascii="Tele-GroteskNor" w:hAnsi="Tele-GroteskNor"/>
        </w:rPr>
        <w:t xml:space="preserve">Müssen alte Trassen zum Zwecke der Kennzeichnung des Trassenverlaufs und/oder Integration der Einmessung </w:t>
      </w:r>
      <w:r w:rsidRPr="0066364E">
        <w:rPr>
          <w:rFonts w:ascii="Tele-GroteskNor" w:hAnsi="Tele-GroteskNor"/>
          <w:color w:val="000000" w:themeColor="text1"/>
        </w:rPr>
        <w:t xml:space="preserve">des neuen Trassenverlaufs rekonstruiert werden, so wird die Absteckung der </w:t>
      </w:r>
      <w:r w:rsidRPr="0066364E">
        <w:rPr>
          <w:rFonts w:ascii="Tele-GroteskNor" w:hAnsi="Tele-GroteskNor"/>
          <w:color w:val="000000" w:themeColor="text1"/>
          <w:u w:val="single"/>
        </w:rPr>
        <w:t>alten Trasse</w:t>
      </w:r>
      <w:r w:rsidRPr="0066364E">
        <w:rPr>
          <w:rFonts w:ascii="Tele-GroteskNor" w:hAnsi="Tele-GroteskNor"/>
          <w:color w:val="000000" w:themeColor="text1"/>
        </w:rPr>
        <w:t xml:space="preserve"> </w:t>
      </w:r>
      <w:r w:rsidR="0066364E" w:rsidRPr="00A540A3">
        <w:rPr>
          <w:rFonts w:ascii="Tele-GroteskNor" w:hAnsi="Tele-GroteskNor"/>
          <w:color w:val="000000" w:themeColor="text1"/>
          <w:highlight w:val="yellow"/>
        </w:rPr>
        <w:t xml:space="preserve">separat </w:t>
      </w:r>
      <w:r w:rsidRPr="00A540A3">
        <w:rPr>
          <w:rFonts w:ascii="Tele-GroteskNor" w:hAnsi="Tele-GroteskNor"/>
          <w:color w:val="000000" w:themeColor="text1"/>
          <w:highlight w:val="yellow"/>
        </w:rPr>
        <w:t xml:space="preserve"> </w:t>
      </w:r>
      <w:r w:rsidR="0066364E" w:rsidRPr="00A540A3">
        <w:rPr>
          <w:rFonts w:ascii="Tele-GroteskNor" w:hAnsi="Tele-GroteskNor"/>
          <w:color w:val="000000" w:themeColor="text1"/>
          <w:highlight w:val="yellow"/>
        </w:rPr>
        <w:t>gemäß ZTV-TKNetz 9 über die Ordnungszahlen der Gruppe 28</w:t>
      </w:r>
      <w:r w:rsidRPr="00A540A3">
        <w:rPr>
          <w:rFonts w:ascii="Tele-GroteskNor" w:hAnsi="Tele-GroteskNor"/>
          <w:color w:val="000000" w:themeColor="text1"/>
          <w:highlight w:val="yellow"/>
        </w:rPr>
        <w:t xml:space="preserve"> vergütet. </w:t>
      </w:r>
    </w:p>
    <w:p w:rsidR="00CB3C1F" w:rsidRDefault="00CB3C1F" w:rsidP="00CB3C1F">
      <w:pPr>
        <w:pStyle w:val="Listenabsatz"/>
        <w:numPr>
          <w:ilvl w:val="0"/>
          <w:numId w:val="3"/>
        </w:numPr>
        <w:ind w:left="284" w:hanging="284"/>
        <w:rPr>
          <w:rFonts w:ascii="Tele-GroteskNor" w:hAnsi="Tele-GroteskNor"/>
        </w:rPr>
      </w:pPr>
      <w:r>
        <w:rPr>
          <w:rFonts w:ascii="Tele-GroteskNor" w:hAnsi="Tele-GroteskNor"/>
        </w:rPr>
        <w:t xml:space="preserve">Wurden vom Tiefbauunternehmer im Rahmen seiner Sorgfaltspflicht in regelmäßigen Abständen (max. 30m Abstand)  Suchgrabungen zur Feststellung der Lage der bestehenden Fernmeldetrasse(n) durchgeführt, so sind diese vorrangig zu verwenden. Auf eine Absteckung der alten Trasse kann in diesem Fall verzichtet werden. In diesem Fall wird </w:t>
      </w:r>
      <w:r w:rsidRPr="008703A3">
        <w:rPr>
          <w:rFonts w:ascii="Tele-GroteskNor" w:hAnsi="Tele-GroteskNor"/>
          <w:u w:val="single"/>
        </w:rPr>
        <w:t>je Suchschlitz 1m Trasse</w:t>
      </w:r>
      <w:r>
        <w:rPr>
          <w:rFonts w:ascii="Tele-GroteskNor" w:hAnsi="Tele-GroteskNor"/>
        </w:rPr>
        <w:t xml:space="preserve"> </w:t>
      </w:r>
      <w:r w:rsidRPr="00A540A3">
        <w:rPr>
          <w:rFonts w:ascii="Tele-GroteskNor" w:hAnsi="Tele-GroteskNor"/>
          <w:highlight w:val="yellow"/>
        </w:rPr>
        <w:t>vergütet.</w:t>
      </w:r>
      <w:r w:rsidR="00A540A3" w:rsidRPr="00A540A3">
        <w:rPr>
          <w:rFonts w:ascii="Tele-GroteskNor" w:hAnsi="Tele-GroteskNor"/>
          <w:highlight w:val="yellow"/>
        </w:rPr>
        <w:t xml:space="preserve"> Details siehe </w:t>
      </w:r>
      <w:r w:rsidR="00A540A3" w:rsidRPr="00A540A3">
        <w:rPr>
          <w:rFonts w:ascii="Tele-GroteskNor" w:hAnsi="Tele-GroteskNor"/>
          <w:color w:val="000000" w:themeColor="text1"/>
          <w:highlight w:val="yellow"/>
        </w:rPr>
        <w:t>ZTV-TKNetz 9 Ordnungszahlen der Gruppe 28</w:t>
      </w:r>
      <w:r w:rsidR="00A540A3">
        <w:rPr>
          <w:rFonts w:ascii="Tele-GroteskNor" w:hAnsi="Tele-GroteskNor"/>
          <w:color w:val="000000" w:themeColor="text1"/>
        </w:rPr>
        <w:t>.</w:t>
      </w:r>
    </w:p>
    <w:p w:rsidR="009A29B7" w:rsidRPr="001C0D8E" w:rsidRDefault="00CB3C1F" w:rsidP="00DC1F37">
      <w:pPr>
        <w:pStyle w:val="Listenabsatz"/>
        <w:numPr>
          <w:ilvl w:val="0"/>
          <w:numId w:val="3"/>
        </w:numPr>
        <w:ind w:left="284" w:hanging="284"/>
        <w:rPr>
          <w:rFonts w:ascii="Tele-GroteskNor" w:hAnsi="Tele-GroteskNor"/>
        </w:rPr>
      </w:pPr>
      <w:r w:rsidRPr="001C0D8E">
        <w:rPr>
          <w:rFonts w:ascii="Tele-GroteskNor" w:hAnsi="Tele-GroteskNor"/>
        </w:rPr>
        <w:t>Bei Verlegung neuer Kabel/Rohre im Beilauf parallel zu bestehenden Trassen sind unbedingt die Festlegungen gem. Ziff. 5.4.1 zu beachten</w:t>
      </w:r>
    </w:p>
    <w:sectPr w:rsidR="009A29B7" w:rsidRPr="001C0D8E" w:rsidSect="003F4E3C">
      <w:pgSz w:w="11906" w:h="16838"/>
      <w:pgMar w:top="851" w:right="1134" w:bottom="85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l?r ?????????????????????????"/>
    <w:panose1 w:val="020B0604030504040204"/>
    <w:charset w:val="00"/>
    <w:family w:val="swiss"/>
    <w:pitch w:val="variable"/>
    <w:sig w:usb0="E1002EFF" w:usb1="C000605B" w:usb2="00000029" w:usb3="00000000" w:csb0="000101FF" w:csb1="00000000"/>
  </w:font>
  <w:font w:name="Tele-GroteskNor">
    <w:panose1 w:val="00000000000000000000"/>
    <w:charset w:val="00"/>
    <w:family w:val="auto"/>
    <w:pitch w:val="variable"/>
    <w:sig w:usb0="A00002AF" w:usb1="1000204B"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E1CDA"/>
    <w:multiLevelType w:val="hybridMultilevel"/>
    <w:tmpl w:val="15EEAA0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C850F0"/>
    <w:multiLevelType w:val="hybridMultilevel"/>
    <w:tmpl w:val="A604538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BF4158"/>
    <w:multiLevelType w:val="hybridMultilevel"/>
    <w:tmpl w:val="0AD8774E"/>
    <w:lvl w:ilvl="0" w:tplc="0407000B">
      <w:start w:val="1"/>
      <w:numFmt w:val="bullet"/>
      <w:lvlText w:val=""/>
      <w:lvlJc w:val="left"/>
      <w:pPr>
        <w:ind w:left="750" w:hanging="360"/>
      </w:pPr>
      <w:rPr>
        <w:rFonts w:ascii="Wingdings" w:hAnsi="Wingdings" w:hint="default"/>
      </w:rPr>
    </w:lvl>
    <w:lvl w:ilvl="1" w:tplc="04070003" w:tentative="1">
      <w:start w:val="1"/>
      <w:numFmt w:val="bullet"/>
      <w:lvlText w:val="o"/>
      <w:lvlJc w:val="left"/>
      <w:pPr>
        <w:ind w:left="1470" w:hanging="360"/>
      </w:pPr>
      <w:rPr>
        <w:rFonts w:ascii="Courier New" w:hAnsi="Courier New" w:cs="Courier New" w:hint="default"/>
      </w:rPr>
    </w:lvl>
    <w:lvl w:ilvl="2" w:tplc="04070005" w:tentative="1">
      <w:start w:val="1"/>
      <w:numFmt w:val="bullet"/>
      <w:lvlText w:val=""/>
      <w:lvlJc w:val="left"/>
      <w:pPr>
        <w:ind w:left="2190" w:hanging="360"/>
      </w:pPr>
      <w:rPr>
        <w:rFonts w:ascii="Wingdings" w:hAnsi="Wingdings" w:hint="default"/>
      </w:rPr>
    </w:lvl>
    <w:lvl w:ilvl="3" w:tplc="04070001" w:tentative="1">
      <w:start w:val="1"/>
      <w:numFmt w:val="bullet"/>
      <w:lvlText w:val=""/>
      <w:lvlJc w:val="left"/>
      <w:pPr>
        <w:ind w:left="2910" w:hanging="360"/>
      </w:pPr>
      <w:rPr>
        <w:rFonts w:ascii="Symbol" w:hAnsi="Symbol" w:hint="default"/>
      </w:rPr>
    </w:lvl>
    <w:lvl w:ilvl="4" w:tplc="04070003" w:tentative="1">
      <w:start w:val="1"/>
      <w:numFmt w:val="bullet"/>
      <w:lvlText w:val="o"/>
      <w:lvlJc w:val="left"/>
      <w:pPr>
        <w:ind w:left="3630" w:hanging="360"/>
      </w:pPr>
      <w:rPr>
        <w:rFonts w:ascii="Courier New" w:hAnsi="Courier New" w:cs="Courier New" w:hint="default"/>
      </w:rPr>
    </w:lvl>
    <w:lvl w:ilvl="5" w:tplc="04070005" w:tentative="1">
      <w:start w:val="1"/>
      <w:numFmt w:val="bullet"/>
      <w:lvlText w:val=""/>
      <w:lvlJc w:val="left"/>
      <w:pPr>
        <w:ind w:left="4350" w:hanging="360"/>
      </w:pPr>
      <w:rPr>
        <w:rFonts w:ascii="Wingdings" w:hAnsi="Wingdings" w:hint="default"/>
      </w:rPr>
    </w:lvl>
    <w:lvl w:ilvl="6" w:tplc="04070001" w:tentative="1">
      <w:start w:val="1"/>
      <w:numFmt w:val="bullet"/>
      <w:lvlText w:val=""/>
      <w:lvlJc w:val="left"/>
      <w:pPr>
        <w:ind w:left="5070" w:hanging="360"/>
      </w:pPr>
      <w:rPr>
        <w:rFonts w:ascii="Symbol" w:hAnsi="Symbol" w:hint="default"/>
      </w:rPr>
    </w:lvl>
    <w:lvl w:ilvl="7" w:tplc="04070003" w:tentative="1">
      <w:start w:val="1"/>
      <w:numFmt w:val="bullet"/>
      <w:lvlText w:val="o"/>
      <w:lvlJc w:val="left"/>
      <w:pPr>
        <w:ind w:left="5790" w:hanging="360"/>
      </w:pPr>
      <w:rPr>
        <w:rFonts w:ascii="Courier New" w:hAnsi="Courier New" w:cs="Courier New" w:hint="default"/>
      </w:rPr>
    </w:lvl>
    <w:lvl w:ilvl="8" w:tplc="04070005" w:tentative="1">
      <w:start w:val="1"/>
      <w:numFmt w:val="bullet"/>
      <w:lvlText w:val=""/>
      <w:lvlJc w:val="left"/>
      <w:pPr>
        <w:ind w:left="6510" w:hanging="360"/>
      </w:pPr>
      <w:rPr>
        <w:rFonts w:ascii="Wingdings" w:hAnsi="Wingdings" w:hint="default"/>
      </w:rPr>
    </w:lvl>
  </w:abstractNum>
  <w:abstractNum w:abstractNumId="3" w15:restartNumberingAfterBreak="0">
    <w:nsid w:val="548A6821"/>
    <w:multiLevelType w:val="hybridMultilevel"/>
    <w:tmpl w:val="EC702A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4B"/>
    <w:rsid w:val="00021270"/>
    <w:rsid w:val="00032010"/>
    <w:rsid w:val="0005686A"/>
    <w:rsid w:val="00057397"/>
    <w:rsid w:val="0010494A"/>
    <w:rsid w:val="00135446"/>
    <w:rsid w:val="00147538"/>
    <w:rsid w:val="00165704"/>
    <w:rsid w:val="00180824"/>
    <w:rsid w:val="001A70D0"/>
    <w:rsid w:val="001C0D8E"/>
    <w:rsid w:val="00237E8A"/>
    <w:rsid w:val="00267DCA"/>
    <w:rsid w:val="00275D5D"/>
    <w:rsid w:val="00283959"/>
    <w:rsid w:val="002E26B3"/>
    <w:rsid w:val="00341809"/>
    <w:rsid w:val="00390B21"/>
    <w:rsid w:val="003A0266"/>
    <w:rsid w:val="003F4E3C"/>
    <w:rsid w:val="00471A8C"/>
    <w:rsid w:val="0058603A"/>
    <w:rsid w:val="005D1068"/>
    <w:rsid w:val="006251C7"/>
    <w:rsid w:val="0066364E"/>
    <w:rsid w:val="006B3E42"/>
    <w:rsid w:val="006C4DA4"/>
    <w:rsid w:val="006D344F"/>
    <w:rsid w:val="007062EF"/>
    <w:rsid w:val="0075376B"/>
    <w:rsid w:val="00775063"/>
    <w:rsid w:val="00803556"/>
    <w:rsid w:val="0084514C"/>
    <w:rsid w:val="008703A3"/>
    <w:rsid w:val="008E5828"/>
    <w:rsid w:val="00931A46"/>
    <w:rsid w:val="009423B5"/>
    <w:rsid w:val="009A29B7"/>
    <w:rsid w:val="00A43638"/>
    <w:rsid w:val="00A540A3"/>
    <w:rsid w:val="00A72834"/>
    <w:rsid w:val="00AA1126"/>
    <w:rsid w:val="00AD2339"/>
    <w:rsid w:val="00B54BEF"/>
    <w:rsid w:val="00B55666"/>
    <w:rsid w:val="00B810B4"/>
    <w:rsid w:val="00C83655"/>
    <w:rsid w:val="00C858A6"/>
    <w:rsid w:val="00CB3C1F"/>
    <w:rsid w:val="00CC0083"/>
    <w:rsid w:val="00CC37FF"/>
    <w:rsid w:val="00CE6A4B"/>
    <w:rsid w:val="00D01A7D"/>
    <w:rsid w:val="00D51E16"/>
    <w:rsid w:val="00DA3928"/>
    <w:rsid w:val="00DB3BEF"/>
    <w:rsid w:val="00DC1F37"/>
    <w:rsid w:val="00DC747D"/>
    <w:rsid w:val="00E2178C"/>
    <w:rsid w:val="00E83F24"/>
    <w:rsid w:val="00EC1DAE"/>
    <w:rsid w:val="00F16822"/>
    <w:rsid w:val="00F6375C"/>
    <w:rsid w:val="00FF42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3" type="connector" idref="#_x0000_s1029"/>
        <o:r id="V:Rule4" type="connector" idref="#_x0000_s1028"/>
      </o:rules>
    </o:shapelayout>
  </w:shapeDefaults>
  <w:decimalSymbol w:val=","/>
  <w:listSeparator w:val=";"/>
  <w15:docId w15:val="{F785238D-9D77-4656-A0B7-64DB6C47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537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6A4B"/>
    <w:pPr>
      <w:ind w:left="720"/>
      <w:contextualSpacing/>
    </w:pPr>
  </w:style>
  <w:style w:type="paragraph" w:styleId="Sprechblasentext">
    <w:name w:val="Balloon Text"/>
    <w:basedOn w:val="Standard"/>
    <w:link w:val="SprechblasentextZchn"/>
    <w:uiPriority w:val="99"/>
    <w:semiHidden/>
    <w:unhideWhenUsed/>
    <w:rsid w:val="0003201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2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AA47686A05A484A9081CF53AE6B9C1B" ma:contentTypeVersion="14" ma:contentTypeDescription="Create a new document." ma:contentTypeScope="" ma:versionID="8e65f2c8d0911b9b312b58d21be959f5">
  <xsd:schema xmlns:xsd="http://www.w3.org/2001/XMLSchema" xmlns:xs="http://www.w3.org/2001/XMLSchema" xmlns:p="http://schemas.microsoft.com/office/2006/metadata/properties" xmlns:ns2="d9032d95-729d-454c-917b-87614bc51415" xmlns:ns3="6adae7bb-b269-4e48-9360-a52f84fcab73" targetNamespace="http://schemas.microsoft.com/office/2006/metadata/properties" ma:root="true" ma:fieldsID="7bedf5d01c548bf3a89ca60c34749665" ns2:_="" ns3:_="">
    <xsd:import namespace="d9032d95-729d-454c-917b-87614bc51415"/>
    <xsd:import namespace="6adae7bb-b269-4e48-9360-a52f84fcab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32d95-729d-454c-917b-87614bc514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607be77-6a28-4281-ba90-e3b5b5721a91}" ma:internalName="TaxCatchAll" ma:showField="CatchAllData" ma:web="d9032d95-729d-454c-917b-87614bc514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dae7bb-b269-4e48-9360-a52f84fcab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d48687-8b4e-4ed8-9ed9-f34827c0f01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032d95-729d-454c-917b-87614bc51415" xsi:nil="true"/>
    <lcf76f155ced4ddcb4097134ff3c332f xmlns="6adae7bb-b269-4e48-9360-a52f84fcab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52BB4B-4EB7-4621-B802-BB5260A5F358}">
  <ds:schemaRefs>
    <ds:schemaRef ds:uri="http://schemas.openxmlformats.org/officeDocument/2006/bibliography"/>
  </ds:schemaRefs>
</ds:datastoreItem>
</file>

<file path=customXml/itemProps2.xml><?xml version="1.0" encoding="utf-8"?>
<ds:datastoreItem xmlns:ds="http://schemas.openxmlformats.org/officeDocument/2006/customXml" ds:itemID="{CB0DC61F-D1FD-4597-A6D0-1FB2D3A4995A}"/>
</file>

<file path=customXml/itemProps3.xml><?xml version="1.0" encoding="utf-8"?>
<ds:datastoreItem xmlns:ds="http://schemas.openxmlformats.org/officeDocument/2006/customXml" ds:itemID="{5972E011-E091-43F2-BAA6-7B56EB1B1900}"/>
</file>

<file path=customXml/itemProps4.xml><?xml version="1.0" encoding="utf-8"?>
<ds:datastoreItem xmlns:ds="http://schemas.openxmlformats.org/officeDocument/2006/customXml" ds:itemID="{DE14CDAD-9E06-4BDB-8C5F-C5611D305991}"/>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2893</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Deutsche Telekom AG</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Karl-Heinz Henk</dc:creator>
  <cp:lastModifiedBy>Mueller, Klemens</cp:lastModifiedBy>
  <cp:revision>2</cp:revision>
  <cp:lastPrinted>2017-03-08T13:56:00Z</cp:lastPrinted>
  <dcterms:created xsi:type="dcterms:W3CDTF">2018-01-30T13:44:00Z</dcterms:created>
  <dcterms:modified xsi:type="dcterms:W3CDTF">2018-01-30T13:44:00Z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0x0101008AA47686A05A484A9081CF53AE6B9C1B</vt:lpwstr>
  </property>
  <property fmtid="{D5CDD505-2E9C-101B-9397-08002B2CF9AE}" pid="3" name="MediaServiceImageTags">
    <vt:lpwstr/>
  </property>
</Properties>
</file>